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napToGrid w:val="0"/>
        <w:spacing w:line="640" w:lineRule="exact"/>
        <w:ind w:left="0" w:firstLine="1542" w:firstLineChars="480"/>
        <w:rPr>
          <w:rFonts w:ascii="黑体" w:hAnsi="黑体" w:eastAsia="黑体"/>
          <w:b/>
          <w:sz w:val="32"/>
          <w:szCs w:val="32"/>
        </w:rPr>
      </w:pPr>
    </w:p>
    <w:p>
      <w:pPr>
        <w:pStyle w:val="4"/>
        <w:snapToGrid w:val="0"/>
        <w:spacing w:line="640" w:lineRule="exact"/>
        <w:ind w:left="0" w:firstLine="1542" w:firstLineChars="48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《体育与健康</w:t>
      </w:r>
      <w:r>
        <w:rPr>
          <w:rFonts w:ascii="黑体" w:hAnsi="黑体" w:eastAsia="黑体"/>
          <w:b/>
          <w:sz w:val="32"/>
          <w:szCs w:val="32"/>
        </w:rPr>
        <w:t>—</w:t>
      </w:r>
      <w:r>
        <w:rPr>
          <w:rFonts w:hint="eastAsia" w:ascii="黑体" w:hAnsi="黑体" w:eastAsia="黑体"/>
          <w:b/>
          <w:sz w:val="32"/>
          <w:szCs w:val="32"/>
        </w:rPr>
        <w:t>足球》课程教学大纲</w:t>
      </w:r>
    </w:p>
    <w:p>
      <w:pPr>
        <w:pStyle w:val="4"/>
        <w:snapToGrid w:val="0"/>
        <w:spacing w:line="640" w:lineRule="exact"/>
        <w:ind w:left="0" w:firstLine="1542" w:firstLineChars="480"/>
        <w:rPr>
          <w:rFonts w:ascii="黑体" w:hAnsi="黑体" w:eastAsia="黑体"/>
          <w:b/>
          <w:sz w:val="32"/>
          <w:szCs w:val="32"/>
        </w:rPr>
      </w:pP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宋体" w:hAnsi="宋体"/>
          <w:b/>
          <w:sz w:val="24"/>
        </w:rPr>
        <w:t>一、课程基本情况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课程英文名称</w:t>
      </w:r>
      <w:r>
        <w:rPr>
          <w:rFonts w:hint="eastAsia" w:ascii="宋体" w:hAnsi="宋体"/>
          <w:sz w:val="24"/>
        </w:rPr>
        <w:t>】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color w:val="333333"/>
          <w:sz w:val="24"/>
          <w:shd w:val="clear" w:color="auto" w:fill="FFFFFF"/>
        </w:rPr>
        <w:t>F</w:t>
      </w:r>
      <w:r>
        <w:rPr>
          <w:sz w:val="24"/>
        </w:rPr>
        <w:t>ootball</w:t>
      </w:r>
      <w:r>
        <w:rPr>
          <w:rFonts w:hint="eastAsia"/>
          <w:sz w:val="24"/>
        </w:rPr>
        <w:t xml:space="preserve">         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学时数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>32</w:t>
      </w:r>
    </w:p>
    <w:p>
      <w:pPr>
        <w:spacing w:line="360" w:lineRule="auto"/>
        <w:ind w:left="479" w:leftChars="228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学分数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2                 </w:t>
      </w:r>
      <w:r>
        <w:rPr>
          <w:rFonts w:hint="eastAsia" w:ascii="宋体" w:hAnsi="宋体"/>
          <w:sz w:val="24"/>
        </w:rPr>
        <w:t xml:space="preserve">    【</w:t>
      </w:r>
      <w:r>
        <w:rPr>
          <w:rFonts w:hint="eastAsia" w:ascii="宋体" w:hAnsi="宋体"/>
          <w:b/>
          <w:sz w:val="24"/>
        </w:rPr>
        <w:t>适用专业</w:t>
      </w:r>
      <w:r>
        <w:rPr>
          <w:rFonts w:hint="eastAsia" w:ascii="宋体" w:hAnsi="宋体"/>
          <w:sz w:val="24"/>
        </w:rPr>
        <w:t>】公共体育专业</w:t>
      </w:r>
    </w:p>
    <w:p>
      <w:pPr>
        <w:spacing w:line="360" w:lineRule="auto"/>
        <w:ind w:left="479" w:leftChars="228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开课学院</w:t>
      </w:r>
      <w:r>
        <w:rPr>
          <w:rFonts w:hint="eastAsia" w:ascii="宋体" w:hAnsi="宋体"/>
          <w:sz w:val="24"/>
        </w:rPr>
        <w:t>】体育学院             【</w:t>
      </w:r>
      <w:r>
        <w:rPr>
          <w:rFonts w:hint="eastAsia" w:ascii="宋体" w:hAnsi="宋体"/>
          <w:b/>
          <w:sz w:val="24"/>
        </w:rPr>
        <w:t>课程类型</w:t>
      </w:r>
      <w:r>
        <w:rPr>
          <w:rFonts w:hint="eastAsia" w:ascii="宋体" w:hAnsi="宋体"/>
          <w:sz w:val="24"/>
        </w:rPr>
        <w:t>】公共必修课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修读学期</w:t>
      </w:r>
      <w:r>
        <w:rPr>
          <w:rFonts w:hint="eastAsia" w:ascii="宋体" w:hAnsi="宋体"/>
          <w:sz w:val="24"/>
        </w:rPr>
        <w:t>】第1、2、3、4学期    【</w:t>
      </w:r>
      <w:r>
        <w:rPr>
          <w:rFonts w:hint="eastAsia" w:ascii="宋体" w:hAnsi="宋体"/>
          <w:b/>
          <w:sz w:val="24"/>
        </w:rPr>
        <w:t>先修课程</w:t>
      </w:r>
      <w:r>
        <w:rPr>
          <w:rFonts w:hint="eastAsia" w:ascii="宋体" w:hAnsi="宋体"/>
          <w:sz w:val="24"/>
        </w:rPr>
        <w:t>】无</w:t>
      </w:r>
    </w:p>
    <w:p>
      <w:pPr>
        <w:spacing w:line="500" w:lineRule="exact"/>
        <w:rPr>
          <w:rFonts w:ascii="宋体"/>
          <w:szCs w:val="21"/>
        </w:rPr>
      </w:pPr>
      <w:r>
        <w:rPr>
          <w:rFonts w:hint="eastAsia" w:ascii="宋体" w:hAnsi="宋体"/>
          <w:b/>
          <w:sz w:val="24"/>
        </w:rPr>
        <w:t>二</w:t>
      </w:r>
      <w:r>
        <w:rPr>
          <w:rFonts w:hint="eastAsia" w:ascii="宋体"/>
          <w:b/>
          <w:sz w:val="24"/>
        </w:rPr>
        <w:t>、</w:t>
      </w:r>
      <w:r>
        <w:rPr>
          <w:rFonts w:hint="eastAsia" w:ascii="宋体" w:hAnsi="宋体"/>
          <w:b/>
          <w:sz w:val="24"/>
        </w:rPr>
        <w:t>课程简介</w:t>
      </w:r>
    </w:p>
    <w:p>
      <w:pPr>
        <w:pStyle w:val="3"/>
        <w:ind w:firstLine="420"/>
        <w:rPr>
          <w:rFonts w:hAnsi="宋体"/>
          <w:sz w:val="21"/>
          <w:szCs w:val="21"/>
        </w:rPr>
      </w:pPr>
      <w:r>
        <w:rPr>
          <w:rFonts w:hint="eastAsia" w:hAnsi="宋体"/>
          <w:sz w:val="21"/>
          <w:szCs w:val="21"/>
        </w:rPr>
        <w:t xml:space="preserve">足球是目前全球体育界最具影响力的单项体育运动，故有世界第一大运动的美称！是主要以脚支配球为主，但也可以使用头、胸部等部位触球（除守门员外，其他队员不得用手或臂触球；守门员只能在己方禁区内，能用手或臂触球）两个队在同一场地内进行攻守的体育运动项目。一场精彩的足球比赛，吸引着数以亿计的观众，它已成为电视节目中的重要内容，有关足球方面的报道，占据着世界各种报刊的篇幅，当今足球运动已成为人们生活中不可缺少的组成部分。 </w:t>
      </w:r>
    </w:p>
    <w:p>
      <w:pPr>
        <w:spacing w:line="360" w:lineRule="auto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三、课程教学目标</w:t>
      </w:r>
    </w:p>
    <w:p>
      <w:pPr>
        <w:pStyle w:val="18"/>
        <w:spacing w:line="360" w:lineRule="auto"/>
        <w:ind w:firstLine="420" w:firstLineChars="199"/>
        <w:jc w:val="both"/>
        <w:rPr>
          <w:sz w:val="21"/>
          <w:szCs w:val="21"/>
        </w:rPr>
      </w:pPr>
      <w:r>
        <w:rPr>
          <w:rFonts w:hint="eastAsia" w:hAnsi="宋体"/>
          <w:b/>
          <w:sz w:val="21"/>
          <w:szCs w:val="21"/>
        </w:rPr>
        <w:t>总目标：</w:t>
      </w:r>
      <w:r>
        <w:rPr>
          <w:rFonts w:hint="eastAsia"/>
          <w:sz w:val="21"/>
          <w:szCs w:val="21"/>
        </w:rPr>
        <w:t>通过学生对《足球》课程的学习，使学生形成和具备稳定的终身锻炼身体的行为动机，并通过足球普修课的教学、比赛等实践活动，对学生进行组织纪律性和集体主义精神的教育，培养良好的道德品质，树立勇敢、顽强、团结、协作、机智、灵活、勤学苦练、刻苦钻研的作风。以此养成健身锻炼的习惯，让学生以此获得健康的体魄、追求终身体育的观念，在今后的工作中能更好地为社会服务。</w:t>
      </w:r>
    </w:p>
    <w:p>
      <w:pPr>
        <w:spacing w:line="360" w:lineRule="auto"/>
        <w:ind w:firstLine="422" w:firstLineChars="200"/>
        <w:rPr>
          <w:szCs w:val="21"/>
        </w:rPr>
      </w:pPr>
      <w:r>
        <w:rPr>
          <w:rFonts w:hint="eastAsia" w:ascii="宋体" w:hAnsi="宋体"/>
          <w:b/>
          <w:szCs w:val="21"/>
        </w:rPr>
        <w:t>知识目标：</w:t>
      </w:r>
      <w:r>
        <w:rPr>
          <w:rFonts w:hint="eastAsia" w:ascii="宋体" w:hAnsi="宋体"/>
          <w:szCs w:val="21"/>
        </w:rPr>
        <w:t>足球课程的设置本着有简到难，循序渐进的原则，使学生能系统地学习和掌握足球基本技战术和足球竞赛规则。</w:t>
      </w:r>
    </w:p>
    <w:p>
      <w:pPr>
        <w:spacing w:line="360" w:lineRule="auto"/>
        <w:ind w:firstLine="413" w:firstLineChars="196"/>
        <w:rPr>
          <w:rFonts w:ascii="宋体"/>
          <w:szCs w:val="21"/>
        </w:rPr>
      </w:pPr>
      <w:r>
        <w:rPr>
          <w:rFonts w:hint="eastAsia" w:ascii="宋体" w:hAnsi="宋体"/>
          <w:b/>
          <w:szCs w:val="21"/>
        </w:rPr>
        <w:t>能力目标：</w:t>
      </w:r>
      <w:r>
        <w:rPr>
          <w:rFonts w:hint="eastAsia" w:ascii="宋体" w:hAnsi="宋体"/>
          <w:szCs w:val="21"/>
        </w:rPr>
        <w:t>锻炼学生速度、耐力、力量等身体素质，全面发展学生的身体素质。足球运动具有很强的竞争性，在竞争中，磨炼意志品质，强化进取精神，使人的智、勇、技在竞争与对抗中得以升华。</w:t>
      </w:r>
    </w:p>
    <w:p>
      <w:pPr>
        <w:spacing w:line="360" w:lineRule="auto"/>
        <w:ind w:left="1" w:firstLine="413" w:firstLineChars="196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素质目标：</w:t>
      </w:r>
      <w:r>
        <w:rPr>
          <w:rFonts w:hint="eastAsia" w:ascii="宋体" w:hAnsi="宋体"/>
          <w:szCs w:val="21"/>
        </w:rPr>
        <w:t>通过足球运动的学习，使学生基本掌握锻炼身体的方法和手段，增进健康，增强体质。</w:t>
      </w:r>
    </w:p>
    <w:p>
      <w:pPr>
        <w:spacing w:line="360" w:lineRule="auto"/>
        <w:rPr>
          <w:rFonts w:hint="eastAsia" w:ascii="宋体"/>
          <w:b/>
          <w:sz w:val="24"/>
        </w:rPr>
      </w:pPr>
      <w:r>
        <w:rPr>
          <w:rFonts w:hint="eastAsia" w:ascii="宋体"/>
          <w:b/>
          <w:sz w:val="24"/>
        </w:rPr>
        <w:t>四、课程教学内容、学时分配</w:t>
      </w:r>
    </w:p>
    <w:p>
      <w:pPr>
        <w:spacing w:line="360" w:lineRule="auto"/>
        <w:rPr>
          <w:rFonts w:ascii="宋体"/>
          <w:b/>
          <w:sz w:val="24"/>
        </w:rPr>
      </w:pPr>
    </w:p>
    <w:p>
      <w:pPr>
        <w:spacing w:line="360" w:lineRule="auto"/>
        <w:ind w:firstLine="482" w:firstLineChars="200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表1  教学内容及学时分配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420"/>
        <w:gridCol w:w="1080"/>
        <w:gridCol w:w="900"/>
        <w:gridCol w:w="1053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8" w:type="dxa"/>
            <w:gridSpan w:val="2"/>
          </w:tcPr>
          <w:p>
            <w:r>
              <w:rPr>
                <w:rFonts w:hint="eastAsia"/>
              </w:rPr>
              <w:t>教学内容</w:t>
            </w:r>
          </w:p>
        </w:tc>
        <w:tc>
          <w:tcPr>
            <w:tcW w:w="1080" w:type="dxa"/>
          </w:tcPr>
          <w:p>
            <w:r>
              <w:rPr>
                <w:rFonts w:hint="eastAsia"/>
              </w:rPr>
              <w:t>学时数</w:t>
            </w:r>
          </w:p>
        </w:tc>
        <w:tc>
          <w:tcPr>
            <w:tcW w:w="900" w:type="dxa"/>
          </w:tcPr>
          <w:p>
            <w:r>
              <w:rPr>
                <w:rFonts w:hint="eastAsia"/>
              </w:rPr>
              <w:t>小计</w:t>
            </w:r>
          </w:p>
        </w:tc>
        <w:tc>
          <w:tcPr>
            <w:tcW w:w="1053" w:type="dxa"/>
          </w:tcPr>
          <w:p>
            <w:r>
              <w:rPr>
                <w:rFonts w:hint="eastAsia"/>
              </w:rPr>
              <w:t>比例％</w:t>
            </w:r>
          </w:p>
        </w:tc>
        <w:tc>
          <w:tcPr>
            <w:tcW w:w="1421" w:type="dxa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648" w:type="dxa"/>
          </w:tcPr>
          <w:p>
            <w:pPr>
              <w:jc w:val="center"/>
            </w:pPr>
            <w:r>
              <w:rPr>
                <w:rFonts w:hint="eastAsia"/>
              </w:rPr>
              <w:t>理论部分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足球竞赛规则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t>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5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6.25％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restart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实</w:t>
            </w:r>
          </w:p>
          <w:p>
            <w:pPr>
              <w:jc w:val="center"/>
            </w:pPr>
            <w:r>
              <w:rPr>
                <w:rFonts w:hint="eastAsia"/>
              </w:rPr>
              <w:t>践</w:t>
            </w:r>
          </w:p>
          <w:p>
            <w:pPr>
              <w:jc w:val="center"/>
            </w:pPr>
            <w:r>
              <w:rPr>
                <w:rFonts w:hint="eastAsia"/>
              </w:rPr>
              <w:t>部</w:t>
            </w:r>
          </w:p>
          <w:p>
            <w:pPr>
              <w:jc w:val="center"/>
            </w:pPr>
            <w:r>
              <w:rPr>
                <w:rFonts w:hint="eastAsia"/>
              </w:rPr>
              <w:t>分</w:t>
            </w:r>
          </w:p>
        </w:tc>
        <w:tc>
          <w:tcPr>
            <w:tcW w:w="3420" w:type="dxa"/>
          </w:tcPr>
          <w:p>
            <w:r>
              <w:rPr>
                <w:rFonts w:hint="eastAsia"/>
              </w:rPr>
              <w:t>基本动作：</w:t>
            </w:r>
          </w:p>
          <w:p>
            <w:pPr>
              <w:ind w:firstLine="315" w:firstLineChars="150"/>
              <w:rPr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脚背正面颠球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053" w:type="dxa"/>
            <w:vMerge w:val="restart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93.75％</w:t>
            </w:r>
          </w:p>
        </w:tc>
        <w:tc>
          <w:tcPr>
            <w:tcW w:w="1421" w:type="dxa"/>
            <w:vMerge w:val="restart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</w:tcPr>
          <w:p/>
        </w:tc>
        <w:tc>
          <w:tcPr>
            <w:tcW w:w="3420" w:type="dxa"/>
          </w:tcPr>
          <w:p>
            <w:r>
              <w:rPr>
                <w:rFonts w:hint="eastAsia"/>
              </w:rPr>
              <w:t>基本动作：</w:t>
            </w:r>
          </w:p>
          <w:p>
            <w:pPr>
              <w:ind w:firstLine="315" w:firstLineChars="150"/>
            </w:pPr>
            <w:r>
              <w:rPr>
                <w:rFonts w:hint="eastAsia" w:ascii="宋体" w:hAnsi="宋体" w:cs="宋体"/>
                <w:bCs/>
                <w:szCs w:val="21"/>
              </w:rPr>
              <w:t>脚内侧传接球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0" w:type="dxa"/>
            <w:vMerge w:val="continue"/>
          </w:tcPr>
          <w:p/>
        </w:tc>
        <w:tc>
          <w:tcPr>
            <w:tcW w:w="1053" w:type="dxa"/>
            <w:vMerge w:val="continue"/>
          </w:tcPr>
          <w:p/>
        </w:tc>
        <w:tc>
          <w:tcPr>
            <w:tcW w:w="1421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</w:tcPr>
          <w:p/>
        </w:tc>
        <w:tc>
          <w:tcPr>
            <w:tcW w:w="3420" w:type="dxa"/>
          </w:tcPr>
          <w:p>
            <w:r>
              <w:rPr>
                <w:rFonts w:hint="eastAsia"/>
              </w:rPr>
              <w:t>基本动作：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脚背外侧运球</w:t>
            </w:r>
          </w:p>
          <w:p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脚内侧运球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脚正面运球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0" w:type="dxa"/>
            <w:vMerge w:val="continue"/>
          </w:tcPr>
          <w:p/>
        </w:tc>
        <w:tc>
          <w:tcPr>
            <w:tcW w:w="1053" w:type="dxa"/>
            <w:vMerge w:val="continue"/>
          </w:tcPr>
          <w:p/>
        </w:tc>
        <w:tc>
          <w:tcPr>
            <w:tcW w:w="1421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</w:tcPr>
          <w:p/>
        </w:tc>
        <w:tc>
          <w:tcPr>
            <w:tcW w:w="3420" w:type="dxa"/>
          </w:tcPr>
          <w:p>
            <w:r>
              <w:rPr>
                <w:rFonts w:hint="eastAsia"/>
              </w:rPr>
              <w:t>基本动作：</w:t>
            </w:r>
          </w:p>
          <w:p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/>
              </w:rPr>
              <w:t>（1）</w:t>
            </w:r>
            <w:r>
              <w:rPr>
                <w:rFonts w:hint="eastAsia" w:ascii="宋体" w:hAnsi="宋体" w:cs="宋体"/>
                <w:bCs/>
                <w:szCs w:val="21"/>
              </w:rPr>
              <w:t>脚背正面踢球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（2）</w:t>
            </w:r>
            <w:r>
              <w:rPr>
                <w:rFonts w:hint="eastAsia" w:ascii="宋体" w:hAnsi="宋体" w:cs="宋体"/>
                <w:bCs/>
                <w:szCs w:val="21"/>
              </w:rPr>
              <w:t>脚背内侧踢球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0" w:type="dxa"/>
            <w:vMerge w:val="continue"/>
          </w:tcPr>
          <w:p/>
        </w:tc>
        <w:tc>
          <w:tcPr>
            <w:tcW w:w="1053" w:type="dxa"/>
            <w:vMerge w:val="continue"/>
          </w:tcPr>
          <w:p/>
        </w:tc>
        <w:tc>
          <w:tcPr>
            <w:tcW w:w="1421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8" w:type="dxa"/>
            <w:vMerge w:val="continue"/>
          </w:tcPr>
          <w:p/>
        </w:tc>
        <w:tc>
          <w:tcPr>
            <w:tcW w:w="3420" w:type="dxa"/>
          </w:tcPr>
          <w:p>
            <w:r>
              <w:rPr>
                <w:rFonts w:hint="eastAsia"/>
              </w:rPr>
              <w:t>基本动作：</w:t>
            </w:r>
          </w:p>
          <w:p>
            <w:pPr>
              <w:numPr>
                <w:ilvl w:val="0"/>
                <w:numId w:val="2"/>
              </w:numPr>
              <w:rPr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脚内侧停球</w:t>
            </w:r>
          </w:p>
          <w:p>
            <w:pPr>
              <w:numPr>
                <w:ilvl w:val="0"/>
                <w:numId w:val="2"/>
              </w:numPr>
              <w:rPr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脚外侧停球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0" w:type="dxa"/>
            <w:vMerge w:val="continue"/>
          </w:tcPr>
          <w:p/>
        </w:tc>
        <w:tc>
          <w:tcPr>
            <w:tcW w:w="1053" w:type="dxa"/>
            <w:vMerge w:val="continue"/>
          </w:tcPr>
          <w:p/>
        </w:tc>
        <w:tc>
          <w:tcPr>
            <w:tcW w:w="1421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48" w:type="dxa"/>
            <w:vMerge w:val="continue"/>
          </w:tcPr>
          <w:p/>
        </w:tc>
        <w:tc>
          <w:tcPr>
            <w:tcW w:w="3420" w:type="dxa"/>
          </w:tcPr>
          <w:p>
            <w:r>
              <w:rPr>
                <w:rFonts w:hint="eastAsia"/>
              </w:rPr>
              <w:t>基本动作：</w:t>
            </w:r>
          </w:p>
          <w:p>
            <w:pPr>
              <w:ind w:firstLine="210" w:firstLineChars="100"/>
            </w:pPr>
            <w:r>
              <w:rPr>
                <w:rFonts w:hint="eastAsia"/>
              </w:rPr>
              <w:t>头顶球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t>2</w:t>
            </w:r>
          </w:p>
        </w:tc>
        <w:tc>
          <w:tcPr>
            <w:tcW w:w="900" w:type="dxa"/>
            <w:vMerge w:val="continue"/>
          </w:tcPr>
          <w:p/>
        </w:tc>
        <w:tc>
          <w:tcPr>
            <w:tcW w:w="1053" w:type="dxa"/>
            <w:vMerge w:val="continue"/>
          </w:tcPr>
          <w:p/>
        </w:tc>
        <w:tc>
          <w:tcPr>
            <w:tcW w:w="1421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648" w:type="dxa"/>
            <w:vMerge w:val="continue"/>
          </w:tcPr>
          <w:p/>
        </w:tc>
        <w:tc>
          <w:tcPr>
            <w:tcW w:w="3420" w:type="dxa"/>
          </w:tcPr>
          <w:p>
            <w:r>
              <w:rPr>
                <w:rFonts w:hint="eastAsia"/>
              </w:rPr>
              <w:t>基本动作：</w:t>
            </w:r>
          </w:p>
          <w:p>
            <w:r>
              <w:rPr>
                <w:rFonts w:hint="eastAsia"/>
              </w:rPr>
              <w:t>（1）运球过人</w:t>
            </w:r>
          </w:p>
          <w:p>
            <w:r>
              <w:rPr>
                <w:rFonts w:hint="eastAsia"/>
              </w:rPr>
              <w:t>（2）射门技术</w:t>
            </w:r>
          </w:p>
        </w:tc>
        <w:tc>
          <w:tcPr>
            <w:tcW w:w="1080" w:type="dxa"/>
          </w:tcPr>
          <w:p/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900" w:type="dxa"/>
            <w:vMerge w:val="continue"/>
          </w:tcPr>
          <w:p/>
        </w:tc>
        <w:tc>
          <w:tcPr>
            <w:tcW w:w="1053" w:type="dxa"/>
            <w:vMerge w:val="continue"/>
          </w:tcPr>
          <w:p/>
        </w:tc>
        <w:tc>
          <w:tcPr>
            <w:tcW w:w="1421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48" w:type="dxa"/>
            <w:vMerge w:val="continue"/>
          </w:tcPr>
          <w:p/>
        </w:tc>
        <w:tc>
          <w:tcPr>
            <w:tcW w:w="3420" w:type="dxa"/>
          </w:tcPr>
          <w:p>
            <w:r>
              <w:rPr>
                <w:rFonts w:hint="eastAsia"/>
              </w:rPr>
              <w:t>考试</w:t>
            </w:r>
          </w:p>
        </w:tc>
        <w:tc>
          <w:tcPr>
            <w:tcW w:w="1080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00" w:type="dxa"/>
            <w:vMerge w:val="continue"/>
          </w:tcPr>
          <w:p/>
        </w:tc>
        <w:tc>
          <w:tcPr>
            <w:tcW w:w="1053" w:type="dxa"/>
            <w:vMerge w:val="continue"/>
          </w:tcPr>
          <w:p/>
        </w:tc>
        <w:tc>
          <w:tcPr>
            <w:tcW w:w="1421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40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          计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05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100％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</w:pPr>
          </w:p>
        </w:tc>
      </w:tr>
    </w:tbl>
    <w:p>
      <w:pPr>
        <w:spacing w:line="360" w:lineRule="auto"/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>五、课程教学重点与难点</w:t>
      </w:r>
    </w:p>
    <w:p>
      <w:pPr>
        <w:spacing w:line="360" w:lineRule="auto"/>
        <w:ind w:firstLine="420" w:firstLineChars="200"/>
      </w:pPr>
      <w:r>
        <w:rPr>
          <w:rFonts w:hint="eastAsia"/>
        </w:rPr>
        <w:t>课程教学重点：足球基本技术的掌握。</w:t>
      </w:r>
    </w:p>
    <w:p>
      <w:pPr>
        <w:spacing w:line="360" w:lineRule="auto"/>
        <w:ind w:firstLine="420" w:firstLineChars="200"/>
      </w:pPr>
      <w:r>
        <w:rPr>
          <w:rFonts w:hint="eastAsia"/>
        </w:rPr>
        <w:t>课程教学难点：（1）面对没有任何基础的学生，合理运用教学方法使学生感兴趣并掌握基本技术；</w:t>
      </w:r>
    </w:p>
    <w:p>
      <w:pPr>
        <w:spacing w:line="360" w:lineRule="auto"/>
        <w:ind w:firstLine="1785" w:firstLineChars="850"/>
      </w:pPr>
      <w:r>
        <w:rPr>
          <w:rFonts w:hint="eastAsia"/>
        </w:rPr>
        <w:t>（2）在分组对抗中，合理运用技战术。</w:t>
      </w:r>
    </w:p>
    <w:p>
      <w:pPr>
        <w:spacing w:line="360" w:lineRule="auto"/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>六、课程教学方法与手段</w:t>
      </w:r>
    </w:p>
    <w:p>
      <w:pPr>
        <w:spacing w:line="360" w:lineRule="auto"/>
        <w:ind w:firstLine="420" w:firstLineChars="200"/>
      </w:pPr>
      <w:r>
        <w:rPr>
          <w:rFonts w:hint="eastAsia"/>
        </w:rPr>
        <w:t>因时因地制宜开发利用各种课程资源，运用个性化和多样化的教学方法，提倡师生之间、学生与学生之间的多边互助活动，努力提高学生参与的积极性，最大限度地发挥学生的创造性。不仅要注重教法的研究，更要加强对学生学习方法和练习方法的指导，提高学生自学、自练的能力。同时运用多媒体教学，播放视频，加深学生对技术动作的掌握和应用。</w:t>
      </w:r>
    </w:p>
    <w:p>
      <w:pPr>
        <w:spacing w:line="360" w:lineRule="auto"/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>七、课程考核方法与要求</w:t>
      </w:r>
    </w:p>
    <w:p>
      <w:pPr>
        <w:spacing w:line="360" w:lineRule="auto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（1）脚内侧射门：用脚内侧踢地滚球方式射进10米外一米宽的球门，每人5球，每球4分，若球击中门柱则此球不算，重踢。</w:t>
      </w:r>
    </w:p>
    <w:p>
      <w:pPr>
        <w:spacing w:line="360" w:lineRule="auto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（2）脚内侧射门：用脚内侧踢地滚球方式射进10米外的球门，每人5球，每球5分,球射入对应球门得相应分数。</w:t>
      </w:r>
    </w:p>
    <w:p>
      <w:pPr>
        <w:spacing w:line="360" w:lineRule="auto"/>
        <w:ind w:firstLine="420" w:firstLineChars="200"/>
        <w:jc w:val="center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pict>
          <v:shape id="_x0000_i1025" o:spt="75" type="#_x0000_t75" style="height:150.75pt;width:300.75pt;" filled="f" o:preferrelative="t" stroked="f" coordsize="21600,21600">
            <v:path/>
            <v:fill on="f" focussize="0,0"/>
            <v:stroke on="f" joinstyle="miter"/>
            <v:imagedata r:id="rId5" o:title="1512986309(1)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（3）绕杆射门</w:t>
      </w:r>
    </w:p>
    <w:p>
      <w:pPr>
        <w:spacing w:line="360" w:lineRule="auto"/>
        <w:ind w:firstLine="420" w:firstLineChars="200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pict>
          <v:shape id="_x0000_i1026" o:spt="75" type="#_x0000_t75" style="height:168pt;width:337.5pt;" filled="f" o:preferrelative="t" stroked="f" coordsize="21600,21600">
            <v:path/>
            <v:fill on="f" focussize="0,0"/>
            <v:stroke on="f" joinstyle="miter"/>
            <v:imagedata r:id="rId6" o:title="1512986672(1)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4"/>
        <w:gridCol w:w="1538"/>
        <w:gridCol w:w="1538"/>
        <w:gridCol w:w="865"/>
        <w:gridCol w:w="1637"/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0" w:hRule="atLeast"/>
          <w:jc w:val="center"/>
        </w:trPr>
        <w:tc>
          <w:tcPr>
            <w:tcW w:w="884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分值</w:t>
            </w:r>
          </w:p>
        </w:tc>
        <w:tc>
          <w:tcPr>
            <w:tcW w:w="3076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成绩（秒）</w:t>
            </w:r>
          </w:p>
        </w:tc>
        <w:tc>
          <w:tcPr>
            <w:tcW w:w="865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分值</w:t>
            </w:r>
          </w:p>
        </w:tc>
        <w:tc>
          <w:tcPr>
            <w:tcW w:w="3275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成绩（秒）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  <w:jc w:val="center"/>
        </w:trPr>
        <w:tc>
          <w:tcPr>
            <w:tcW w:w="884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538" w:type="dxa"/>
            <w:vAlign w:val="center"/>
          </w:tcPr>
          <w:p>
            <w:pPr>
              <w:spacing w:line="440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男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</w:p>
        </w:tc>
        <w:tc>
          <w:tcPr>
            <w:tcW w:w="1538" w:type="dxa"/>
            <w:tcBorders>
              <w:righ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女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</w:p>
        </w:tc>
        <w:tc>
          <w:tcPr>
            <w:tcW w:w="865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37" w:type="dxa"/>
            <w:vAlign w:val="center"/>
          </w:tcPr>
          <w:p>
            <w:pPr>
              <w:spacing w:line="440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男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</w:p>
        </w:tc>
        <w:tc>
          <w:tcPr>
            <w:tcW w:w="1638" w:type="dxa"/>
            <w:tcBorders>
              <w:righ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女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884" w:type="dxa"/>
            <w:tcBorders>
              <w:lef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15</w:t>
            </w:r>
          </w:p>
        </w:tc>
        <w:tc>
          <w:tcPr>
            <w:tcW w:w="1538" w:type="dxa"/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11.00</w:t>
            </w:r>
          </w:p>
        </w:tc>
        <w:tc>
          <w:tcPr>
            <w:tcW w:w="1538" w:type="dxa"/>
            <w:tcBorders>
              <w:righ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.00</w:t>
            </w:r>
          </w:p>
        </w:tc>
        <w:tc>
          <w:tcPr>
            <w:tcW w:w="865" w:type="dxa"/>
            <w:tcBorders>
              <w:lef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1637" w:type="dxa"/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12.41-12.60</w:t>
            </w:r>
          </w:p>
        </w:tc>
        <w:tc>
          <w:tcPr>
            <w:tcW w:w="1638" w:type="dxa"/>
            <w:tcBorders>
              <w:righ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.41-1</w:t>
            </w:r>
            <w:r>
              <w:rPr>
                <w:rFonts w:hint="eastAsia" w:ascii="宋体" w:hAnsi="宋体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884" w:type="dxa"/>
            <w:tcBorders>
              <w:lef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14</w:t>
            </w:r>
          </w:p>
        </w:tc>
        <w:tc>
          <w:tcPr>
            <w:tcW w:w="1538" w:type="dxa"/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11.01-11.20</w:t>
            </w:r>
          </w:p>
        </w:tc>
        <w:tc>
          <w:tcPr>
            <w:tcW w:w="1538" w:type="dxa"/>
            <w:tcBorders>
              <w:righ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.01-1</w:t>
            </w: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.20</w:t>
            </w:r>
          </w:p>
        </w:tc>
        <w:tc>
          <w:tcPr>
            <w:tcW w:w="865" w:type="dxa"/>
            <w:tcBorders>
              <w:lef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637" w:type="dxa"/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12.61-12.80</w:t>
            </w:r>
          </w:p>
        </w:tc>
        <w:tc>
          <w:tcPr>
            <w:tcW w:w="1638" w:type="dxa"/>
            <w:tcBorders>
              <w:righ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.61-1</w:t>
            </w:r>
            <w:r>
              <w:rPr>
                <w:rFonts w:hint="eastAsia" w:ascii="宋体" w:hAnsi="宋体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884" w:type="dxa"/>
            <w:tcBorders>
              <w:lef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538" w:type="dxa"/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11.21-11.40</w:t>
            </w:r>
          </w:p>
        </w:tc>
        <w:tc>
          <w:tcPr>
            <w:tcW w:w="1538" w:type="dxa"/>
            <w:tcBorders>
              <w:righ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.21-1</w:t>
            </w: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.40</w:t>
            </w:r>
          </w:p>
        </w:tc>
        <w:tc>
          <w:tcPr>
            <w:tcW w:w="865" w:type="dxa"/>
            <w:tcBorders>
              <w:lef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637" w:type="dxa"/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12.81-13.00</w:t>
            </w:r>
          </w:p>
        </w:tc>
        <w:tc>
          <w:tcPr>
            <w:tcW w:w="1638" w:type="dxa"/>
            <w:tcBorders>
              <w:righ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.81-1</w:t>
            </w:r>
            <w:r>
              <w:rPr>
                <w:rFonts w:hint="eastAsia" w:ascii="宋体" w:hAnsi="宋体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884" w:type="dxa"/>
            <w:tcBorders>
              <w:lef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1538" w:type="dxa"/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11.41-11.60</w:t>
            </w:r>
          </w:p>
        </w:tc>
        <w:tc>
          <w:tcPr>
            <w:tcW w:w="1538" w:type="dxa"/>
            <w:tcBorders>
              <w:righ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.41-1</w:t>
            </w: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.60</w:t>
            </w:r>
          </w:p>
        </w:tc>
        <w:tc>
          <w:tcPr>
            <w:tcW w:w="865" w:type="dxa"/>
            <w:tcBorders>
              <w:lef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637" w:type="dxa"/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13.01-13.20</w:t>
            </w:r>
          </w:p>
        </w:tc>
        <w:tc>
          <w:tcPr>
            <w:tcW w:w="1638" w:type="dxa"/>
            <w:tcBorders>
              <w:righ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.01-1</w:t>
            </w:r>
            <w:r>
              <w:rPr>
                <w:rFonts w:hint="eastAsia" w:ascii="宋体" w:hAnsi="宋体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884" w:type="dxa"/>
            <w:tcBorders>
              <w:lef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1538" w:type="dxa"/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11.61-11.80</w:t>
            </w:r>
          </w:p>
        </w:tc>
        <w:tc>
          <w:tcPr>
            <w:tcW w:w="1538" w:type="dxa"/>
            <w:tcBorders>
              <w:righ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.61-1</w:t>
            </w: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.80</w:t>
            </w:r>
          </w:p>
        </w:tc>
        <w:tc>
          <w:tcPr>
            <w:tcW w:w="865" w:type="dxa"/>
            <w:tcBorders>
              <w:lef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637" w:type="dxa"/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13.21-13.40</w:t>
            </w:r>
          </w:p>
        </w:tc>
        <w:tc>
          <w:tcPr>
            <w:tcW w:w="1638" w:type="dxa"/>
            <w:tcBorders>
              <w:righ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.21-1</w:t>
            </w:r>
            <w:r>
              <w:rPr>
                <w:rFonts w:hint="eastAsia" w:ascii="宋体" w:hAnsi="宋体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884" w:type="dxa"/>
            <w:tcBorders>
              <w:lef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1538" w:type="dxa"/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11.81-12.00</w:t>
            </w:r>
          </w:p>
        </w:tc>
        <w:tc>
          <w:tcPr>
            <w:tcW w:w="1538" w:type="dxa"/>
            <w:tcBorders>
              <w:righ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.81-1</w:t>
            </w:r>
            <w:r>
              <w:rPr>
                <w:rFonts w:hint="eastAsia" w:ascii="宋体" w:hAnsi="宋体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.00</w:t>
            </w:r>
          </w:p>
        </w:tc>
        <w:tc>
          <w:tcPr>
            <w:tcW w:w="865" w:type="dxa"/>
            <w:tcBorders>
              <w:lef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637" w:type="dxa"/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13.41-13.60</w:t>
            </w:r>
          </w:p>
        </w:tc>
        <w:tc>
          <w:tcPr>
            <w:tcW w:w="1638" w:type="dxa"/>
            <w:tcBorders>
              <w:righ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.41-1</w:t>
            </w:r>
            <w:r>
              <w:rPr>
                <w:rFonts w:hint="eastAsia" w:ascii="宋体" w:hAnsi="宋体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884" w:type="dxa"/>
            <w:tcBorders>
              <w:lef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538" w:type="dxa"/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12.01-12.20</w:t>
            </w:r>
          </w:p>
        </w:tc>
        <w:tc>
          <w:tcPr>
            <w:tcW w:w="1538" w:type="dxa"/>
            <w:tcBorders>
              <w:righ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.01-1</w:t>
            </w:r>
            <w:r>
              <w:rPr>
                <w:rFonts w:hint="eastAsia" w:ascii="宋体" w:hAnsi="宋体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.20</w:t>
            </w:r>
          </w:p>
        </w:tc>
        <w:tc>
          <w:tcPr>
            <w:tcW w:w="865" w:type="dxa"/>
            <w:tcBorders>
              <w:lef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637" w:type="dxa"/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13.61-13.80</w:t>
            </w:r>
          </w:p>
        </w:tc>
        <w:tc>
          <w:tcPr>
            <w:tcW w:w="1638" w:type="dxa"/>
            <w:tcBorders>
              <w:righ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.61-1</w:t>
            </w:r>
            <w:r>
              <w:rPr>
                <w:rFonts w:hint="eastAsia" w:ascii="宋体" w:hAnsi="宋体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884" w:type="dxa"/>
            <w:tcBorders>
              <w:lef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538" w:type="dxa"/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12.21-12.40</w:t>
            </w:r>
          </w:p>
        </w:tc>
        <w:tc>
          <w:tcPr>
            <w:tcW w:w="1538" w:type="dxa"/>
            <w:tcBorders>
              <w:righ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.21-1</w:t>
            </w:r>
            <w:r>
              <w:rPr>
                <w:rFonts w:hint="eastAsia" w:ascii="宋体" w:hAnsi="宋体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.40</w:t>
            </w:r>
          </w:p>
        </w:tc>
        <w:tc>
          <w:tcPr>
            <w:tcW w:w="865" w:type="dxa"/>
            <w:tcBorders>
              <w:lef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637" w:type="dxa"/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638" w:type="dxa"/>
            <w:tcBorders>
              <w:right w:val="single" w:color="auto" w:sz="12" w:space="0"/>
            </w:tcBorders>
            <w:vAlign w:val="center"/>
          </w:tcPr>
          <w:p>
            <w:pPr>
              <w:spacing w:line="440" w:lineRule="atLeast"/>
              <w:jc w:val="center"/>
              <w:rPr>
                <w:rFonts w:ascii="宋体" w:cs="宋体"/>
                <w:szCs w:val="21"/>
              </w:rPr>
            </w:pPr>
          </w:p>
        </w:tc>
      </w:tr>
    </w:tbl>
    <w:p>
      <w:pPr>
        <w:spacing w:line="360" w:lineRule="auto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八、教材、参考书目、重要文献以及课程网络资源</w:t>
      </w:r>
    </w:p>
    <w:p>
      <w:pPr>
        <w:spacing w:line="360" w:lineRule="auto"/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[1]韩秋红等.大学体育与健康课程[M].北京：清华大学出版社，2020.5</w:t>
      </w:r>
    </w:p>
    <w:p>
      <w:pPr>
        <w:spacing w:line="360" w:lineRule="auto"/>
        <w:ind w:firstLine="315" w:firstLineChars="150"/>
        <w:rPr>
          <w:rFonts w:hint="eastAsia" w:ascii="宋体" w:hAnsi="宋体" w:cs="宋体"/>
          <w:szCs w:val="21"/>
        </w:rPr>
      </w:pPr>
    </w:p>
    <w:p>
      <w:pPr>
        <w:spacing w:line="360" w:lineRule="auto"/>
        <w:ind w:firstLine="315" w:firstLineChars="15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[</w:t>
      </w:r>
      <w:r>
        <w:rPr>
          <w:rFonts w:hint="eastAsia" w:ascii="宋体" w:hAnsi="宋体" w:cs="宋体"/>
          <w:szCs w:val="21"/>
          <w:lang w:val="en-US" w:eastAsia="zh-CN"/>
        </w:rPr>
        <w:t>2</w:t>
      </w:r>
      <w:r>
        <w:rPr>
          <w:rFonts w:hint="eastAsia" w:ascii="宋体" w:hAnsi="宋体" w:cs="宋体"/>
          <w:szCs w:val="21"/>
        </w:rPr>
        <w:t>]何志林，邓达之，余吉成等．现代足球[M]．北京：人民体育出版社，2005</w:t>
      </w:r>
    </w:p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[</w:t>
      </w:r>
      <w:r>
        <w:rPr>
          <w:rFonts w:hint="eastAsia" w:ascii="宋体" w:hAnsi="宋体" w:cs="宋体"/>
          <w:szCs w:val="21"/>
          <w:lang w:val="en-US" w:eastAsia="zh-CN"/>
        </w:rPr>
        <w:t>3</w:t>
      </w:r>
      <w:r>
        <w:rPr>
          <w:rFonts w:hint="eastAsia" w:ascii="宋体" w:hAnsi="宋体" w:cs="宋体"/>
          <w:szCs w:val="21"/>
        </w:rPr>
        <w:t>]中国足球协会</w:t>
      </w:r>
      <w:bookmarkStart w:id="0" w:name="_GoBack"/>
      <w:bookmarkEnd w:id="0"/>
      <w:r>
        <w:rPr>
          <w:rFonts w:hint="eastAsia" w:ascii="宋体" w:hAnsi="宋体" w:cs="宋体"/>
          <w:szCs w:val="21"/>
        </w:rPr>
        <w:t>裁判委员会．足球裁判规则2016/2017[M]．北京：人民体育出版社，2016</w:t>
      </w:r>
    </w:p>
    <w:sectPr>
      <w:headerReference r:id="rId3" w:type="default"/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1B0131"/>
    <w:multiLevelType w:val="singleLevel"/>
    <w:tmpl w:val="561B0131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61B0230"/>
    <w:multiLevelType w:val="singleLevel"/>
    <w:tmpl w:val="561B023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26F5"/>
    <w:rsid w:val="00007FE7"/>
    <w:rsid w:val="000103A9"/>
    <w:rsid w:val="000215E1"/>
    <w:rsid w:val="00022B04"/>
    <w:rsid w:val="00034004"/>
    <w:rsid w:val="00050A54"/>
    <w:rsid w:val="0006523F"/>
    <w:rsid w:val="00066F25"/>
    <w:rsid w:val="00077015"/>
    <w:rsid w:val="000938C7"/>
    <w:rsid w:val="000A538D"/>
    <w:rsid w:val="000B4E42"/>
    <w:rsid w:val="000C2C0A"/>
    <w:rsid w:val="000D0E8E"/>
    <w:rsid w:val="000D482A"/>
    <w:rsid w:val="000F67CD"/>
    <w:rsid w:val="00102071"/>
    <w:rsid w:val="00102DBD"/>
    <w:rsid w:val="001054C7"/>
    <w:rsid w:val="0013306A"/>
    <w:rsid w:val="00140FFC"/>
    <w:rsid w:val="001469A7"/>
    <w:rsid w:val="00156738"/>
    <w:rsid w:val="0016619B"/>
    <w:rsid w:val="00172530"/>
    <w:rsid w:val="00174326"/>
    <w:rsid w:val="00187EF0"/>
    <w:rsid w:val="00190288"/>
    <w:rsid w:val="001933E7"/>
    <w:rsid w:val="001948DE"/>
    <w:rsid w:val="00197D71"/>
    <w:rsid w:val="001A05B7"/>
    <w:rsid w:val="001A0D21"/>
    <w:rsid w:val="001A1272"/>
    <w:rsid w:val="001A4B93"/>
    <w:rsid w:val="001A5D63"/>
    <w:rsid w:val="001B2EAC"/>
    <w:rsid w:val="001C0EC4"/>
    <w:rsid w:val="001C4601"/>
    <w:rsid w:val="001E7071"/>
    <w:rsid w:val="00206457"/>
    <w:rsid w:val="002069E6"/>
    <w:rsid w:val="00207A99"/>
    <w:rsid w:val="00210945"/>
    <w:rsid w:val="002172AE"/>
    <w:rsid w:val="002272D1"/>
    <w:rsid w:val="002341C6"/>
    <w:rsid w:val="002411D9"/>
    <w:rsid w:val="002419F5"/>
    <w:rsid w:val="00256913"/>
    <w:rsid w:val="00266127"/>
    <w:rsid w:val="00282946"/>
    <w:rsid w:val="0028578E"/>
    <w:rsid w:val="002D1CFB"/>
    <w:rsid w:val="002F0796"/>
    <w:rsid w:val="002F1197"/>
    <w:rsid w:val="003060B7"/>
    <w:rsid w:val="00310467"/>
    <w:rsid w:val="0031428E"/>
    <w:rsid w:val="003279C8"/>
    <w:rsid w:val="0033271B"/>
    <w:rsid w:val="00333449"/>
    <w:rsid w:val="00335BB7"/>
    <w:rsid w:val="00336743"/>
    <w:rsid w:val="0035128F"/>
    <w:rsid w:val="003526F5"/>
    <w:rsid w:val="00357A81"/>
    <w:rsid w:val="00367730"/>
    <w:rsid w:val="00371DD2"/>
    <w:rsid w:val="003850EC"/>
    <w:rsid w:val="0038662B"/>
    <w:rsid w:val="003E0D41"/>
    <w:rsid w:val="00407716"/>
    <w:rsid w:val="004141D5"/>
    <w:rsid w:val="00440E74"/>
    <w:rsid w:val="004432E9"/>
    <w:rsid w:val="00446E06"/>
    <w:rsid w:val="00485AAA"/>
    <w:rsid w:val="0048662E"/>
    <w:rsid w:val="004936AE"/>
    <w:rsid w:val="004E14ED"/>
    <w:rsid w:val="004E6DE0"/>
    <w:rsid w:val="004F14B2"/>
    <w:rsid w:val="00503884"/>
    <w:rsid w:val="00505B00"/>
    <w:rsid w:val="00506A0B"/>
    <w:rsid w:val="00507A45"/>
    <w:rsid w:val="005249B8"/>
    <w:rsid w:val="00557DD2"/>
    <w:rsid w:val="00577D72"/>
    <w:rsid w:val="00587280"/>
    <w:rsid w:val="00591262"/>
    <w:rsid w:val="00591C3B"/>
    <w:rsid w:val="005A6391"/>
    <w:rsid w:val="005B210E"/>
    <w:rsid w:val="005C5C0E"/>
    <w:rsid w:val="005D561F"/>
    <w:rsid w:val="005F4087"/>
    <w:rsid w:val="00600C44"/>
    <w:rsid w:val="00604626"/>
    <w:rsid w:val="00614B5F"/>
    <w:rsid w:val="00614E5F"/>
    <w:rsid w:val="006246ED"/>
    <w:rsid w:val="0062561D"/>
    <w:rsid w:val="006356C6"/>
    <w:rsid w:val="0063660D"/>
    <w:rsid w:val="0065268E"/>
    <w:rsid w:val="00663BB2"/>
    <w:rsid w:val="00670F3C"/>
    <w:rsid w:val="006A28E7"/>
    <w:rsid w:val="006A7F10"/>
    <w:rsid w:val="006B2A12"/>
    <w:rsid w:val="006C7D68"/>
    <w:rsid w:val="006D0A21"/>
    <w:rsid w:val="006D6AA5"/>
    <w:rsid w:val="0070592D"/>
    <w:rsid w:val="00707DF2"/>
    <w:rsid w:val="00715A4C"/>
    <w:rsid w:val="00716126"/>
    <w:rsid w:val="007511D0"/>
    <w:rsid w:val="0077150D"/>
    <w:rsid w:val="00775924"/>
    <w:rsid w:val="00787349"/>
    <w:rsid w:val="007A08CC"/>
    <w:rsid w:val="007B0D98"/>
    <w:rsid w:val="007B25DC"/>
    <w:rsid w:val="007D26B1"/>
    <w:rsid w:val="007F486D"/>
    <w:rsid w:val="00802BCE"/>
    <w:rsid w:val="00822EA3"/>
    <w:rsid w:val="0084148B"/>
    <w:rsid w:val="00850037"/>
    <w:rsid w:val="0086013B"/>
    <w:rsid w:val="0087777F"/>
    <w:rsid w:val="008B0D48"/>
    <w:rsid w:val="008D1AE7"/>
    <w:rsid w:val="008E6140"/>
    <w:rsid w:val="008F2649"/>
    <w:rsid w:val="008F4A70"/>
    <w:rsid w:val="00910A6E"/>
    <w:rsid w:val="009177C7"/>
    <w:rsid w:val="00917953"/>
    <w:rsid w:val="009226BC"/>
    <w:rsid w:val="00934C92"/>
    <w:rsid w:val="009476E6"/>
    <w:rsid w:val="00953E6B"/>
    <w:rsid w:val="009656E7"/>
    <w:rsid w:val="00976F25"/>
    <w:rsid w:val="009A6294"/>
    <w:rsid w:val="009C0520"/>
    <w:rsid w:val="009C1E43"/>
    <w:rsid w:val="009D67CB"/>
    <w:rsid w:val="009E65ED"/>
    <w:rsid w:val="009F5FA5"/>
    <w:rsid w:val="00A0297B"/>
    <w:rsid w:val="00A133C1"/>
    <w:rsid w:val="00A17F0D"/>
    <w:rsid w:val="00A26241"/>
    <w:rsid w:val="00A423EB"/>
    <w:rsid w:val="00A4681A"/>
    <w:rsid w:val="00A51B64"/>
    <w:rsid w:val="00A65E62"/>
    <w:rsid w:val="00A66E7C"/>
    <w:rsid w:val="00A709C6"/>
    <w:rsid w:val="00A767BB"/>
    <w:rsid w:val="00A80CCC"/>
    <w:rsid w:val="00A835EA"/>
    <w:rsid w:val="00A94DFA"/>
    <w:rsid w:val="00AB110C"/>
    <w:rsid w:val="00AB4F30"/>
    <w:rsid w:val="00AC76E7"/>
    <w:rsid w:val="00AD194C"/>
    <w:rsid w:val="00AD3001"/>
    <w:rsid w:val="00AD4172"/>
    <w:rsid w:val="00AD41C6"/>
    <w:rsid w:val="00AE5EEE"/>
    <w:rsid w:val="00AF436C"/>
    <w:rsid w:val="00B04FD7"/>
    <w:rsid w:val="00B16656"/>
    <w:rsid w:val="00B22216"/>
    <w:rsid w:val="00B24617"/>
    <w:rsid w:val="00B3124B"/>
    <w:rsid w:val="00B33F05"/>
    <w:rsid w:val="00B36BBA"/>
    <w:rsid w:val="00B4080E"/>
    <w:rsid w:val="00B536A0"/>
    <w:rsid w:val="00B61BF0"/>
    <w:rsid w:val="00B67056"/>
    <w:rsid w:val="00B76B04"/>
    <w:rsid w:val="00B842A3"/>
    <w:rsid w:val="00BC412B"/>
    <w:rsid w:val="00BE0C9E"/>
    <w:rsid w:val="00BE2A44"/>
    <w:rsid w:val="00BE4111"/>
    <w:rsid w:val="00C02465"/>
    <w:rsid w:val="00C045F5"/>
    <w:rsid w:val="00C24051"/>
    <w:rsid w:val="00C33399"/>
    <w:rsid w:val="00C33FB8"/>
    <w:rsid w:val="00C477CC"/>
    <w:rsid w:val="00C57C0D"/>
    <w:rsid w:val="00C61A88"/>
    <w:rsid w:val="00C65CBA"/>
    <w:rsid w:val="00C74398"/>
    <w:rsid w:val="00C75644"/>
    <w:rsid w:val="00C77E96"/>
    <w:rsid w:val="00C918BB"/>
    <w:rsid w:val="00CA4DA7"/>
    <w:rsid w:val="00CB1DC4"/>
    <w:rsid w:val="00CD17E7"/>
    <w:rsid w:val="00CF25F9"/>
    <w:rsid w:val="00D337DB"/>
    <w:rsid w:val="00D53162"/>
    <w:rsid w:val="00D72217"/>
    <w:rsid w:val="00D92F81"/>
    <w:rsid w:val="00DA2B24"/>
    <w:rsid w:val="00DA5FD5"/>
    <w:rsid w:val="00DB5DEA"/>
    <w:rsid w:val="00DC0E20"/>
    <w:rsid w:val="00DE576A"/>
    <w:rsid w:val="00DF3468"/>
    <w:rsid w:val="00E22598"/>
    <w:rsid w:val="00E3123E"/>
    <w:rsid w:val="00E3651E"/>
    <w:rsid w:val="00E37B4B"/>
    <w:rsid w:val="00E54757"/>
    <w:rsid w:val="00E806B6"/>
    <w:rsid w:val="00E87D2B"/>
    <w:rsid w:val="00EA39C6"/>
    <w:rsid w:val="00EB4756"/>
    <w:rsid w:val="00EB4794"/>
    <w:rsid w:val="00EC1B7A"/>
    <w:rsid w:val="00EC59EF"/>
    <w:rsid w:val="00EC5E97"/>
    <w:rsid w:val="00EE0FF6"/>
    <w:rsid w:val="00EE4BB8"/>
    <w:rsid w:val="00F07612"/>
    <w:rsid w:val="00F1291A"/>
    <w:rsid w:val="00F25A30"/>
    <w:rsid w:val="00F25CF3"/>
    <w:rsid w:val="00F33A86"/>
    <w:rsid w:val="00F3787F"/>
    <w:rsid w:val="00F41E0D"/>
    <w:rsid w:val="00F54511"/>
    <w:rsid w:val="00F6671D"/>
    <w:rsid w:val="00F7078D"/>
    <w:rsid w:val="00F72E9E"/>
    <w:rsid w:val="00F76B31"/>
    <w:rsid w:val="00F92E52"/>
    <w:rsid w:val="00F93D9F"/>
    <w:rsid w:val="00FA1184"/>
    <w:rsid w:val="00FB5B4E"/>
    <w:rsid w:val="00FC5589"/>
    <w:rsid w:val="00FC7CF7"/>
    <w:rsid w:val="00FD1A68"/>
    <w:rsid w:val="00FD3083"/>
    <w:rsid w:val="00FD6D3C"/>
    <w:rsid w:val="00FD7A05"/>
    <w:rsid w:val="00FF1CCF"/>
    <w:rsid w:val="00FF562C"/>
    <w:rsid w:val="02362032"/>
    <w:rsid w:val="073F286F"/>
    <w:rsid w:val="14EA2C82"/>
    <w:rsid w:val="15CE0C8F"/>
    <w:rsid w:val="17FA4139"/>
    <w:rsid w:val="196034A7"/>
    <w:rsid w:val="22617FBE"/>
    <w:rsid w:val="25FE6216"/>
    <w:rsid w:val="2F52389A"/>
    <w:rsid w:val="2FCA145D"/>
    <w:rsid w:val="30A20A0E"/>
    <w:rsid w:val="31655B0D"/>
    <w:rsid w:val="3571156D"/>
    <w:rsid w:val="41E3013F"/>
    <w:rsid w:val="42A851C2"/>
    <w:rsid w:val="436428F9"/>
    <w:rsid w:val="48331794"/>
    <w:rsid w:val="4A245880"/>
    <w:rsid w:val="4CA8312A"/>
    <w:rsid w:val="4CCE6BED"/>
    <w:rsid w:val="4FE63C92"/>
    <w:rsid w:val="512219A8"/>
    <w:rsid w:val="5607563F"/>
    <w:rsid w:val="574529BD"/>
    <w:rsid w:val="58FB2B02"/>
    <w:rsid w:val="5A445857"/>
    <w:rsid w:val="5DC70D17"/>
    <w:rsid w:val="5E5E4148"/>
    <w:rsid w:val="5ED829EB"/>
    <w:rsid w:val="607E2F19"/>
    <w:rsid w:val="6237653A"/>
    <w:rsid w:val="62FF687C"/>
    <w:rsid w:val="66D52736"/>
    <w:rsid w:val="67DC363B"/>
    <w:rsid w:val="6AA935D6"/>
    <w:rsid w:val="6C9557C4"/>
    <w:rsid w:val="6E620C61"/>
    <w:rsid w:val="714F7A68"/>
    <w:rsid w:val="71E122AE"/>
    <w:rsid w:val="74227DD2"/>
    <w:rsid w:val="749C5A49"/>
    <w:rsid w:val="755E1957"/>
    <w:rsid w:val="76415D5F"/>
    <w:rsid w:val="789D0BCC"/>
    <w:rsid w:val="7CF40E92"/>
    <w:rsid w:val="7EB25C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99"/>
    <w:pPr>
      <w:spacing w:after="120"/>
    </w:pPr>
  </w:style>
  <w:style w:type="paragraph" w:styleId="3">
    <w:name w:val="Body Text Indent"/>
    <w:basedOn w:val="1"/>
    <w:link w:val="12"/>
    <w:qFormat/>
    <w:uiPriority w:val="99"/>
    <w:pPr>
      <w:spacing w:line="360" w:lineRule="auto"/>
      <w:ind w:firstLine="480" w:firstLineChars="200"/>
    </w:pPr>
    <w:rPr>
      <w:rFonts w:ascii="宋体" w:hAnsi="华文中宋"/>
      <w:sz w:val="24"/>
    </w:rPr>
  </w:style>
  <w:style w:type="paragraph" w:styleId="4">
    <w:name w:val="List 2"/>
    <w:basedOn w:val="1"/>
    <w:qFormat/>
    <w:uiPriority w:val="99"/>
    <w:pPr>
      <w:ind w:left="840" w:hanging="420"/>
    </w:pPr>
    <w:rPr>
      <w:szCs w:val="20"/>
    </w:rPr>
  </w:style>
  <w:style w:type="paragraph" w:styleId="5">
    <w:name w:val="Date"/>
    <w:basedOn w:val="1"/>
    <w:next w:val="1"/>
    <w:link w:val="13"/>
    <w:qFormat/>
    <w:uiPriority w:val="99"/>
    <w:pPr>
      <w:ind w:left="2500" w:leftChars="2500"/>
    </w:pPr>
    <w:rPr>
      <w:rFonts w:ascii="宋体" w:hAnsi="宋体"/>
      <w:sz w:val="28"/>
    </w:rPr>
  </w:style>
  <w:style w:type="paragraph" w:styleId="6">
    <w:name w:val="Body Text Indent 2"/>
    <w:basedOn w:val="1"/>
    <w:link w:val="17"/>
    <w:qFormat/>
    <w:uiPriority w:val="99"/>
    <w:pPr>
      <w:spacing w:after="120" w:line="480" w:lineRule="auto"/>
      <w:ind w:left="420" w:leftChars="200"/>
    </w:pPr>
  </w:style>
  <w:style w:type="paragraph" w:styleId="7">
    <w:name w:val="footer"/>
    <w:basedOn w:val="1"/>
    <w:link w:val="1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Hyperlink"/>
    <w:basedOn w:val="10"/>
    <w:unhideWhenUsed/>
    <w:qFormat/>
    <w:uiPriority w:val="99"/>
    <w:rPr>
      <w:color w:val="0000FF"/>
      <w:u w:val="single"/>
    </w:rPr>
  </w:style>
  <w:style w:type="character" w:customStyle="1" w:styleId="12">
    <w:name w:val="正文文本缩进 Char"/>
    <w:basedOn w:val="10"/>
    <w:link w:val="3"/>
    <w:qFormat/>
    <w:locked/>
    <w:uiPriority w:val="99"/>
    <w:rPr>
      <w:rFonts w:ascii="宋体" w:hAnsi="华文中宋" w:eastAsia="宋体" w:cs="Times New Roman"/>
      <w:sz w:val="24"/>
      <w:szCs w:val="24"/>
    </w:rPr>
  </w:style>
  <w:style w:type="character" w:customStyle="1" w:styleId="13">
    <w:name w:val="日期 Char"/>
    <w:basedOn w:val="10"/>
    <w:link w:val="5"/>
    <w:qFormat/>
    <w:locked/>
    <w:uiPriority w:val="99"/>
    <w:rPr>
      <w:rFonts w:ascii="宋体" w:hAnsi="宋体" w:eastAsia="宋体" w:cs="Times New Roman"/>
      <w:sz w:val="24"/>
      <w:szCs w:val="24"/>
    </w:rPr>
  </w:style>
  <w:style w:type="character" w:customStyle="1" w:styleId="14">
    <w:name w:val="正文文本 Char"/>
    <w:basedOn w:val="10"/>
    <w:link w:val="2"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5">
    <w:name w:val="页眉 Char"/>
    <w:basedOn w:val="10"/>
    <w:link w:val="8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脚 Char"/>
    <w:basedOn w:val="10"/>
    <w:link w:val="7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正文文本缩进 2 Char"/>
    <w:basedOn w:val="10"/>
    <w:link w:val="6"/>
    <w:semiHidden/>
    <w:qFormat/>
    <w:locked/>
    <w:uiPriority w:val="99"/>
    <w:rPr>
      <w:rFonts w:ascii="Times New Roman" w:hAnsi="Times New Roman" w:cs="Times New Roman"/>
      <w:sz w:val="24"/>
      <w:szCs w:val="24"/>
    </w:rPr>
  </w:style>
  <w:style w:type="paragraph" w:customStyle="1" w:styleId="1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300</Words>
  <Characters>1713</Characters>
  <Lines>14</Lines>
  <Paragraphs>4</Paragraphs>
  <TotalTime>0</TotalTime>
  <ScaleCrop>false</ScaleCrop>
  <LinksUpToDate>false</LinksUpToDate>
  <CharactersWithSpaces>2009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2021-04-12T01:32:00Z</dcterms:created>
  <dc:creator>sy</dc:creator>
  <cp:lastModifiedBy>MAC</cp:lastModifiedBy>
  <cp:lastPrinted>2017-11-07T14:14:00Z</cp:lastPrinted>
  <dcterms:modified xsi:type="dcterms:W3CDTF">2021-04-16T02:25:10Z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